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C0E" w14:textId="7260A7BB" w:rsidR="00D85AE2" w:rsidRDefault="001C6193">
      <w:pPr>
        <w:pStyle w:val="Heading1"/>
      </w:pPr>
      <w:r>
        <w:t xml:space="preserve">AAPC-Aligned Skills Inventory </w:t>
      </w:r>
    </w:p>
    <w:p w14:paraId="6A84D2F1" w14:textId="77777777" w:rsidR="00D85AE2" w:rsidRDefault="001C6193">
      <w:r>
        <w:t>This expanded inventory provides a detailed mapping of skills and sub-skills aligned with AAPC certifications. It covers core coding, specialty coding, billing, auditing, compliance, documentation, and practice management. The 'Credential(s)' column indicates which AAPC certification(s) validate each competency.</w:t>
      </w:r>
    </w:p>
    <w:p w14:paraId="6326F477" w14:textId="77777777" w:rsidR="0008473C" w:rsidRPr="00CE1252" w:rsidRDefault="0008473C" w:rsidP="0008473C">
      <w:r w:rsidRPr="00CE1252">
        <w:rPr>
          <w:b/>
          <w:bCs/>
        </w:rPr>
        <w:t>Disclaimer:</w:t>
      </w:r>
      <w:r w:rsidRPr="00CE1252">
        <w:t xml:space="preserve"> The skills inventories provided herein were independently created </w:t>
      </w:r>
      <w:r>
        <w:t xml:space="preserve">by Agnew, Davis, Siddell Business Services, LLC </w:t>
      </w:r>
      <w:r w:rsidRPr="00CE1252">
        <w:t xml:space="preserve">for educational and informational purposes. They are not endorsed by, affiliated with, or officially sanctioned by </w:t>
      </w:r>
      <w:r>
        <w:t xml:space="preserve">AHIMA, AAPC, </w:t>
      </w:r>
      <w:r w:rsidRPr="00CE1252">
        <w:t xml:space="preserve">HIMSS, HFMA, or any Lean Six Sigma accrediting body. Certification names (e.g., </w:t>
      </w:r>
      <w:r>
        <w:t>RHIA</w:t>
      </w:r>
      <w:r w:rsidRPr="00CE1252">
        <w:t>, CPHIMS, CHFP, CRCR, CSBI, Lean Six Sigma belts) are referenced solely to illustrate commonly associated knowledge domains and competencies. All rights and trademarks belong to their respective owners.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85AE2" w14:paraId="7D725E5F" w14:textId="77777777">
        <w:tc>
          <w:tcPr>
            <w:tcW w:w="4320" w:type="dxa"/>
          </w:tcPr>
          <w:p w14:paraId="049D47B0" w14:textId="77777777" w:rsidR="00D85AE2" w:rsidRDefault="001C6193">
            <w:r>
              <w:t>Skill / Sub-Skill</w:t>
            </w:r>
          </w:p>
        </w:tc>
        <w:tc>
          <w:tcPr>
            <w:tcW w:w="4320" w:type="dxa"/>
          </w:tcPr>
          <w:p w14:paraId="20D3EE86" w14:textId="77777777" w:rsidR="00D85AE2" w:rsidRDefault="001C6193">
            <w:r>
              <w:t>Credential(s)</w:t>
            </w:r>
          </w:p>
        </w:tc>
      </w:tr>
      <w:tr w:rsidR="00D85AE2" w14:paraId="2F1E6993" w14:textId="77777777">
        <w:tc>
          <w:tcPr>
            <w:tcW w:w="4320" w:type="dxa"/>
          </w:tcPr>
          <w:p w14:paraId="279B5E98" w14:textId="77777777" w:rsidR="00D85AE2" w:rsidRDefault="001C6193">
            <w:r>
              <w:t>Apply CPT®, HCPCS Level II, ICD‑10‑CM coding systems</w:t>
            </w:r>
          </w:p>
        </w:tc>
        <w:tc>
          <w:tcPr>
            <w:tcW w:w="4320" w:type="dxa"/>
          </w:tcPr>
          <w:p w14:paraId="0E88BF45" w14:textId="77777777" w:rsidR="00D85AE2" w:rsidRDefault="001C6193">
            <w:r>
              <w:t>CPC, COC, CIC</w:t>
            </w:r>
          </w:p>
        </w:tc>
      </w:tr>
      <w:tr w:rsidR="00D85AE2" w14:paraId="261E5C92" w14:textId="77777777">
        <w:tc>
          <w:tcPr>
            <w:tcW w:w="4320" w:type="dxa"/>
          </w:tcPr>
          <w:p w14:paraId="3CC4E606" w14:textId="77777777" w:rsidR="00D85AE2" w:rsidRDefault="001C6193">
            <w:r>
              <w:t>Assign inpatient codes using ICD‑10‑CM/PCS and DRG methodology</w:t>
            </w:r>
          </w:p>
        </w:tc>
        <w:tc>
          <w:tcPr>
            <w:tcW w:w="4320" w:type="dxa"/>
          </w:tcPr>
          <w:p w14:paraId="68B941CE" w14:textId="77777777" w:rsidR="00D85AE2" w:rsidRDefault="001C6193">
            <w:r>
              <w:t>CIC</w:t>
            </w:r>
          </w:p>
        </w:tc>
      </w:tr>
      <w:tr w:rsidR="00D85AE2" w14:paraId="30B7E2B6" w14:textId="77777777">
        <w:tc>
          <w:tcPr>
            <w:tcW w:w="4320" w:type="dxa"/>
          </w:tcPr>
          <w:p w14:paraId="75D2139E" w14:textId="77777777" w:rsidR="00D85AE2" w:rsidRDefault="001C6193">
            <w:r>
              <w:t>Apply outpatient facility coding rules, APCs, and modifiers</w:t>
            </w:r>
          </w:p>
        </w:tc>
        <w:tc>
          <w:tcPr>
            <w:tcW w:w="4320" w:type="dxa"/>
          </w:tcPr>
          <w:p w14:paraId="174798A6" w14:textId="77777777" w:rsidR="00D85AE2" w:rsidRDefault="001C6193">
            <w:r>
              <w:t>COC</w:t>
            </w:r>
          </w:p>
        </w:tc>
      </w:tr>
      <w:tr w:rsidR="00D85AE2" w14:paraId="2808548E" w14:textId="77777777">
        <w:tc>
          <w:tcPr>
            <w:tcW w:w="4320" w:type="dxa"/>
          </w:tcPr>
          <w:p w14:paraId="198121C2" w14:textId="77777777" w:rsidR="00D85AE2" w:rsidRDefault="001C6193">
            <w:r>
              <w:t>Assign professional service codes in physician/ambulatory settings</w:t>
            </w:r>
          </w:p>
        </w:tc>
        <w:tc>
          <w:tcPr>
            <w:tcW w:w="4320" w:type="dxa"/>
          </w:tcPr>
          <w:p w14:paraId="09F8C774" w14:textId="77777777" w:rsidR="00D85AE2" w:rsidRDefault="001C6193">
            <w:r>
              <w:t>CPC</w:t>
            </w:r>
          </w:p>
        </w:tc>
      </w:tr>
      <w:tr w:rsidR="00D85AE2" w14:paraId="210E1E0B" w14:textId="77777777">
        <w:tc>
          <w:tcPr>
            <w:tcW w:w="4320" w:type="dxa"/>
          </w:tcPr>
          <w:p w14:paraId="62A093E4" w14:textId="77777777" w:rsidR="00D85AE2" w:rsidRDefault="001C6193">
            <w:r>
              <w:t>Apply NCCI edits, bundling rules, and modifier usage</w:t>
            </w:r>
          </w:p>
        </w:tc>
        <w:tc>
          <w:tcPr>
            <w:tcW w:w="4320" w:type="dxa"/>
          </w:tcPr>
          <w:p w14:paraId="45567688" w14:textId="77777777" w:rsidR="00D85AE2" w:rsidRDefault="001C6193">
            <w:r>
              <w:t>CPC, COC, CIC</w:t>
            </w:r>
          </w:p>
        </w:tc>
      </w:tr>
      <w:tr w:rsidR="00D85AE2" w14:paraId="152DFED0" w14:textId="77777777">
        <w:tc>
          <w:tcPr>
            <w:tcW w:w="4320" w:type="dxa"/>
          </w:tcPr>
          <w:p w14:paraId="35A34F48" w14:textId="77777777" w:rsidR="00D85AE2" w:rsidRDefault="001C6193">
            <w:r>
              <w:t>Apply E/M guidelines (1995, 1997, 2021)</w:t>
            </w:r>
          </w:p>
        </w:tc>
        <w:tc>
          <w:tcPr>
            <w:tcW w:w="4320" w:type="dxa"/>
          </w:tcPr>
          <w:p w14:paraId="55255B57" w14:textId="77777777" w:rsidR="00D85AE2" w:rsidRDefault="001C6193">
            <w:r>
              <w:t>CPC, CEMC, CDEO</w:t>
            </w:r>
          </w:p>
        </w:tc>
      </w:tr>
      <w:tr w:rsidR="00D85AE2" w14:paraId="71A1B948" w14:textId="77777777">
        <w:tc>
          <w:tcPr>
            <w:tcW w:w="4320" w:type="dxa"/>
          </w:tcPr>
          <w:p w14:paraId="20951BC0" w14:textId="77777777" w:rsidR="00D85AE2" w:rsidRDefault="001C6193">
            <w:r>
              <w:t>Interpret LCD/NCD policies for medical necessity</w:t>
            </w:r>
          </w:p>
        </w:tc>
        <w:tc>
          <w:tcPr>
            <w:tcW w:w="4320" w:type="dxa"/>
          </w:tcPr>
          <w:p w14:paraId="13565258" w14:textId="77777777" w:rsidR="00D85AE2" w:rsidRDefault="001C6193">
            <w:r>
              <w:t>CPC, COC, CIC, CPMA</w:t>
            </w:r>
          </w:p>
        </w:tc>
      </w:tr>
      <w:tr w:rsidR="00D85AE2" w14:paraId="33E62EDD" w14:textId="77777777">
        <w:tc>
          <w:tcPr>
            <w:tcW w:w="4320" w:type="dxa"/>
          </w:tcPr>
          <w:p w14:paraId="644DEBA7" w14:textId="77777777" w:rsidR="00D85AE2" w:rsidRDefault="001C6193">
            <w:r>
              <w:t>Apply anesthesia coding and modifiers</w:t>
            </w:r>
          </w:p>
        </w:tc>
        <w:tc>
          <w:tcPr>
            <w:tcW w:w="4320" w:type="dxa"/>
          </w:tcPr>
          <w:p w14:paraId="1C56401C" w14:textId="77777777" w:rsidR="00D85AE2" w:rsidRDefault="001C6193">
            <w:r>
              <w:t>CANPC</w:t>
            </w:r>
          </w:p>
        </w:tc>
      </w:tr>
      <w:tr w:rsidR="00D85AE2" w14:paraId="0C9230C9" w14:textId="77777777">
        <w:tc>
          <w:tcPr>
            <w:tcW w:w="4320" w:type="dxa"/>
          </w:tcPr>
          <w:p w14:paraId="20A0B312" w14:textId="77777777" w:rsidR="00D85AE2" w:rsidRDefault="001C6193">
            <w:r>
              <w:t>Assign codes for cardiovascular and interventional radiology</w:t>
            </w:r>
          </w:p>
        </w:tc>
        <w:tc>
          <w:tcPr>
            <w:tcW w:w="4320" w:type="dxa"/>
          </w:tcPr>
          <w:p w14:paraId="50028AC3" w14:textId="77777777" w:rsidR="00D85AE2" w:rsidRDefault="001C6193">
            <w:r>
              <w:t>CASCC, CIRCC</w:t>
            </w:r>
          </w:p>
        </w:tc>
      </w:tr>
      <w:tr w:rsidR="00D85AE2" w14:paraId="3619E875" w14:textId="77777777">
        <w:tc>
          <w:tcPr>
            <w:tcW w:w="4320" w:type="dxa"/>
          </w:tcPr>
          <w:p w14:paraId="5F664F9B" w14:textId="77777777" w:rsidR="00D85AE2" w:rsidRDefault="001C6193">
            <w:r>
              <w:t>Apply emergency department coding guidelines</w:t>
            </w:r>
          </w:p>
        </w:tc>
        <w:tc>
          <w:tcPr>
            <w:tcW w:w="4320" w:type="dxa"/>
          </w:tcPr>
          <w:p w14:paraId="7308DD2C" w14:textId="77777777" w:rsidR="00D85AE2" w:rsidRDefault="001C6193">
            <w:r>
              <w:t>CEDC</w:t>
            </w:r>
          </w:p>
        </w:tc>
      </w:tr>
      <w:tr w:rsidR="00D85AE2" w14:paraId="37168535" w14:textId="77777777">
        <w:tc>
          <w:tcPr>
            <w:tcW w:w="4320" w:type="dxa"/>
          </w:tcPr>
          <w:p w14:paraId="1AF79391" w14:textId="77777777" w:rsidR="00D85AE2" w:rsidRDefault="001C6193">
            <w:r>
              <w:t>Assign obstetrics/gynecology-specific codes</w:t>
            </w:r>
          </w:p>
        </w:tc>
        <w:tc>
          <w:tcPr>
            <w:tcW w:w="4320" w:type="dxa"/>
          </w:tcPr>
          <w:p w14:paraId="26E4EAF5" w14:textId="77777777" w:rsidR="00D85AE2" w:rsidRDefault="001C6193">
            <w:r>
              <w:t>COBGC</w:t>
            </w:r>
          </w:p>
        </w:tc>
      </w:tr>
      <w:tr w:rsidR="00D85AE2" w14:paraId="5C1DD4FD" w14:textId="77777777">
        <w:tc>
          <w:tcPr>
            <w:tcW w:w="4320" w:type="dxa"/>
          </w:tcPr>
          <w:p w14:paraId="760111AD" w14:textId="77777777" w:rsidR="00D85AE2" w:rsidRDefault="001C6193">
            <w:r>
              <w:t>Apply evaluation and management rules for pediatrics and family practice</w:t>
            </w:r>
          </w:p>
        </w:tc>
        <w:tc>
          <w:tcPr>
            <w:tcW w:w="4320" w:type="dxa"/>
          </w:tcPr>
          <w:p w14:paraId="2210085E" w14:textId="77777777" w:rsidR="00D85AE2" w:rsidRDefault="001C6193">
            <w:r>
              <w:t>CFPC, CPEDC</w:t>
            </w:r>
          </w:p>
        </w:tc>
      </w:tr>
      <w:tr w:rsidR="00D85AE2" w14:paraId="511A9381" w14:textId="77777777">
        <w:tc>
          <w:tcPr>
            <w:tcW w:w="4320" w:type="dxa"/>
          </w:tcPr>
          <w:p w14:paraId="7F80DBC0" w14:textId="77777777" w:rsidR="00D85AE2" w:rsidRDefault="001C6193">
            <w:r>
              <w:t>Manage claims submission, A/R, and payment posting</w:t>
            </w:r>
          </w:p>
        </w:tc>
        <w:tc>
          <w:tcPr>
            <w:tcW w:w="4320" w:type="dxa"/>
          </w:tcPr>
          <w:p w14:paraId="0D7B5FE5" w14:textId="77777777" w:rsidR="00D85AE2" w:rsidRDefault="001C6193">
            <w:r>
              <w:t>CPB, CPPM</w:t>
            </w:r>
          </w:p>
        </w:tc>
      </w:tr>
      <w:tr w:rsidR="00D85AE2" w14:paraId="04B9F9FB" w14:textId="77777777">
        <w:tc>
          <w:tcPr>
            <w:tcW w:w="4320" w:type="dxa"/>
          </w:tcPr>
          <w:p w14:paraId="0399A85D" w14:textId="77777777" w:rsidR="00D85AE2" w:rsidRDefault="001C6193">
            <w:r>
              <w:t>Resolve claim denials and payer appeals</w:t>
            </w:r>
          </w:p>
        </w:tc>
        <w:tc>
          <w:tcPr>
            <w:tcW w:w="4320" w:type="dxa"/>
          </w:tcPr>
          <w:p w14:paraId="38DCABDC" w14:textId="77777777" w:rsidR="00D85AE2" w:rsidRDefault="001C6193">
            <w:r>
              <w:t>CPB, CPPM</w:t>
            </w:r>
          </w:p>
        </w:tc>
      </w:tr>
      <w:tr w:rsidR="00D85AE2" w14:paraId="5C4AD059" w14:textId="77777777">
        <w:tc>
          <w:tcPr>
            <w:tcW w:w="4320" w:type="dxa"/>
          </w:tcPr>
          <w:p w14:paraId="6DB7CA9A" w14:textId="77777777" w:rsidR="00D85AE2" w:rsidRDefault="001C6193">
            <w:r>
              <w:t>Apply payer-specific rules and compliance standards</w:t>
            </w:r>
          </w:p>
        </w:tc>
        <w:tc>
          <w:tcPr>
            <w:tcW w:w="4320" w:type="dxa"/>
          </w:tcPr>
          <w:p w14:paraId="3EE46D88" w14:textId="77777777" w:rsidR="00D85AE2" w:rsidRDefault="001C6193">
            <w:r>
              <w:t>CPB, CPC, COC, CIC</w:t>
            </w:r>
          </w:p>
        </w:tc>
      </w:tr>
      <w:tr w:rsidR="00D85AE2" w14:paraId="51E14E49" w14:textId="77777777">
        <w:tc>
          <w:tcPr>
            <w:tcW w:w="4320" w:type="dxa"/>
          </w:tcPr>
          <w:p w14:paraId="3D27CD49" w14:textId="77777777" w:rsidR="00D85AE2" w:rsidRDefault="001C6193">
            <w:r>
              <w:t>Interpret EOBs/ERAs and reconcile balances</w:t>
            </w:r>
          </w:p>
        </w:tc>
        <w:tc>
          <w:tcPr>
            <w:tcW w:w="4320" w:type="dxa"/>
          </w:tcPr>
          <w:p w14:paraId="3AFB3306" w14:textId="77777777" w:rsidR="00D85AE2" w:rsidRDefault="001C6193">
            <w:r>
              <w:t>CPB</w:t>
            </w:r>
          </w:p>
        </w:tc>
      </w:tr>
      <w:tr w:rsidR="00D85AE2" w14:paraId="7418EA5D" w14:textId="77777777">
        <w:tc>
          <w:tcPr>
            <w:tcW w:w="4320" w:type="dxa"/>
          </w:tcPr>
          <w:p w14:paraId="4B852FF1" w14:textId="77777777" w:rsidR="00D85AE2" w:rsidRDefault="001C6193">
            <w:r>
              <w:t xml:space="preserve">Educate providers and staff on billing </w:t>
            </w:r>
            <w:r>
              <w:lastRenderedPageBreak/>
              <w:t>compliance</w:t>
            </w:r>
          </w:p>
        </w:tc>
        <w:tc>
          <w:tcPr>
            <w:tcW w:w="4320" w:type="dxa"/>
          </w:tcPr>
          <w:p w14:paraId="4F8D2031" w14:textId="77777777" w:rsidR="00D85AE2" w:rsidRDefault="001C6193">
            <w:r>
              <w:lastRenderedPageBreak/>
              <w:t>CPB, CPPM</w:t>
            </w:r>
          </w:p>
        </w:tc>
      </w:tr>
      <w:tr w:rsidR="00D85AE2" w14:paraId="38FCD6CB" w14:textId="77777777">
        <w:tc>
          <w:tcPr>
            <w:tcW w:w="4320" w:type="dxa"/>
          </w:tcPr>
          <w:p w14:paraId="7AE3E792" w14:textId="77777777" w:rsidR="00D85AE2" w:rsidRDefault="001C6193">
            <w:r>
              <w:t>Conduct risk-based coding and documentation audits</w:t>
            </w:r>
          </w:p>
        </w:tc>
        <w:tc>
          <w:tcPr>
            <w:tcW w:w="4320" w:type="dxa"/>
          </w:tcPr>
          <w:p w14:paraId="1437BA90" w14:textId="77777777" w:rsidR="00D85AE2" w:rsidRDefault="001C6193">
            <w:r>
              <w:t>CPMA, CEMA</w:t>
            </w:r>
          </w:p>
        </w:tc>
      </w:tr>
      <w:tr w:rsidR="00D85AE2" w14:paraId="72D4C46F" w14:textId="77777777">
        <w:tc>
          <w:tcPr>
            <w:tcW w:w="4320" w:type="dxa"/>
          </w:tcPr>
          <w:p w14:paraId="56C8F13A" w14:textId="77777777" w:rsidR="00D85AE2" w:rsidRDefault="001C6193">
            <w:r>
              <w:t>Develop compliance programs and policies</w:t>
            </w:r>
          </w:p>
        </w:tc>
        <w:tc>
          <w:tcPr>
            <w:tcW w:w="4320" w:type="dxa"/>
          </w:tcPr>
          <w:p w14:paraId="75DB22D9" w14:textId="77777777" w:rsidR="00D85AE2" w:rsidRDefault="001C6193">
            <w:r>
              <w:t>CCO, CPPM</w:t>
            </w:r>
          </w:p>
        </w:tc>
      </w:tr>
      <w:tr w:rsidR="00D85AE2" w14:paraId="102F46AB" w14:textId="77777777">
        <w:tc>
          <w:tcPr>
            <w:tcW w:w="4320" w:type="dxa"/>
          </w:tcPr>
          <w:p w14:paraId="6780BBDA" w14:textId="77777777" w:rsidR="00D85AE2" w:rsidRDefault="001C6193">
            <w:r>
              <w:t>Identify and report fraud, waste, and abuse</w:t>
            </w:r>
          </w:p>
        </w:tc>
        <w:tc>
          <w:tcPr>
            <w:tcW w:w="4320" w:type="dxa"/>
          </w:tcPr>
          <w:p w14:paraId="50B378D4" w14:textId="77777777" w:rsidR="00D85AE2" w:rsidRDefault="001C6193">
            <w:r>
              <w:t>CPMA, CCO</w:t>
            </w:r>
          </w:p>
        </w:tc>
      </w:tr>
      <w:tr w:rsidR="00D85AE2" w14:paraId="3C5B80AA" w14:textId="77777777">
        <w:tc>
          <w:tcPr>
            <w:tcW w:w="4320" w:type="dxa"/>
          </w:tcPr>
          <w:p w14:paraId="00B6C5F2" w14:textId="77777777" w:rsidR="00D85AE2" w:rsidRDefault="001C6193">
            <w:r>
              <w:t>Apply OIG compliance guidelines</w:t>
            </w:r>
          </w:p>
        </w:tc>
        <w:tc>
          <w:tcPr>
            <w:tcW w:w="4320" w:type="dxa"/>
          </w:tcPr>
          <w:p w14:paraId="7ED494C0" w14:textId="77777777" w:rsidR="00D85AE2" w:rsidRDefault="001C6193">
            <w:r>
              <w:t>CPMA, CCO</w:t>
            </w:r>
          </w:p>
        </w:tc>
      </w:tr>
      <w:tr w:rsidR="00D85AE2" w14:paraId="7AF7FD7E" w14:textId="77777777">
        <w:tc>
          <w:tcPr>
            <w:tcW w:w="4320" w:type="dxa"/>
          </w:tcPr>
          <w:p w14:paraId="1D63C2D1" w14:textId="77777777" w:rsidR="00D85AE2" w:rsidRDefault="001C6193">
            <w:r>
              <w:t>Perform statistical sampling and focused audits</w:t>
            </w:r>
          </w:p>
        </w:tc>
        <w:tc>
          <w:tcPr>
            <w:tcW w:w="4320" w:type="dxa"/>
          </w:tcPr>
          <w:p w14:paraId="1735833A" w14:textId="77777777" w:rsidR="00D85AE2" w:rsidRDefault="001C6193">
            <w:r>
              <w:t>CPMA, CEMA</w:t>
            </w:r>
          </w:p>
        </w:tc>
      </w:tr>
      <w:tr w:rsidR="00D85AE2" w14:paraId="33AEAA9C" w14:textId="77777777">
        <w:tc>
          <w:tcPr>
            <w:tcW w:w="4320" w:type="dxa"/>
          </w:tcPr>
          <w:p w14:paraId="16C4B82C" w14:textId="77777777" w:rsidR="00D85AE2" w:rsidRDefault="001C6193">
            <w:r>
              <w:t>Report findings and develop corrective action plans</w:t>
            </w:r>
          </w:p>
        </w:tc>
        <w:tc>
          <w:tcPr>
            <w:tcW w:w="4320" w:type="dxa"/>
          </w:tcPr>
          <w:p w14:paraId="13DA2AF5" w14:textId="77777777" w:rsidR="00D85AE2" w:rsidRDefault="001C6193">
            <w:r>
              <w:t>CPMA, CCO</w:t>
            </w:r>
          </w:p>
        </w:tc>
      </w:tr>
      <w:tr w:rsidR="00D85AE2" w14:paraId="6A43DCEE" w14:textId="77777777">
        <w:tc>
          <w:tcPr>
            <w:tcW w:w="4320" w:type="dxa"/>
          </w:tcPr>
          <w:p w14:paraId="4ED3DF97" w14:textId="77777777" w:rsidR="00D85AE2" w:rsidRDefault="001C6193">
            <w:r>
              <w:t>Evaluate outpatient provider documentation for completeness</w:t>
            </w:r>
          </w:p>
        </w:tc>
        <w:tc>
          <w:tcPr>
            <w:tcW w:w="4320" w:type="dxa"/>
          </w:tcPr>
          <w:p w14:paraId="3135712F" w14:textId="77777777" w:rsidR="00D85AE2" w:rsidRDefault="001C6193">
            <w:r>
              <w:t>CDEO</w:t>
            </w:r>
          </w:p>
        </w:tc>
      </w:tr>
      <w:tr w:rsidR="00D85AE2" w14:paraId="3EE60C65" w14:textId="77777777">
        <w:tc>
          <w:tcPr>
            <w:tcW w:w="4320" w:type="dxa"/>
          </w:tcPr>
          <w:p w14:paraId="487F93E4" w14:textId="77777777" w:rsidR="00D85AE2" w:rsidRDefault="001C6193">
            <w:r>
              <w:t>Ensure documentation supports medical necessity</w:t>
            </w:r>
          </w:p>
        </w:tc>
        <w:tc>
          <w:tcPr>
            <w:tcW w:w="4320" w:type="dxa"/>
          </w:tcPr>
          <w:p w14:paraId="61596E37" w14:textId="77777777" w:rsidR="00D85AE2" w:rsidRDefault="001C6193">
            <w:r>
              <w:t>CDEO, CPMA</w:t>
            </w:r>
          </w:p>
        </w:tc>
      </w:tr>
      <w:tr w:rsidR="00D85AE2" w14:paraId="48E39CD9" w14:textId="77777777">
        <w:tc>
          <w:tcPr>
            <w:tcW w:w="4320" w:type="dxa"/>
          </w:tcPr>
          <w:p w14:paraId="1A76656C" w14:textId="77777777" w:rsidR="00D85AE2" w:rsidRDefault="001C6193">
            <w:r>
              <w:t>Lead CDI initiatives to improve provider documentation</w:t>
            </w:r>
          </w:p>
        </w:tc>
        <w:tc>
          <w:tcPr>
            <w:tcW w:w="4320" w:type="dxa"/>
          </w:tcPr>
          <w:p w14:paraId="4B1D94D5" w14:textId="77777777" w:rsidR="00D85AE2" w:rsidRDefault="001C6193">
            <w:r>
              <w:t>CDEO, CCC</w:t>
            </w:r>
          </w:p>
        </w:tc>
      </w:tr>
      <w:tr w:rsidR="00D85AE2" w14:paraId="1F14BED2" w14:textId="77777777">
        <w:tc>
          <w:tcPr>
            <w:tcW w:w="4320" w:type="dxa"/>
          </w:tcPr>
          <w:p w14:paraId="5F051921" w14:textId="77777777" w:rsidR="00D85AE2" w:rsidRDefault="001C6193">
            <w:r>
              <w:t>Collaborate with coding, billing, and clinical teams</w:t>
            </w:r>
          </w:p>
        </w:tc>
        <w:tc>
          <w:tcPr>
            <w:tcW w:w="4320" w:type="dxa"/>
          </w:tcPr>
          <w:p w14:paraId="61A20132" w14:textId="77777777" w:rsidR="00D85AE2" w:rsidRDefault="001C6193">
            <w:r>
              <w:t>CDEO, CPMA, CPPM</w:t>
            </w:r>
          </w:p>
        </w:tc>
      </w:tr>
      <w:tr w:rsidR="00D85AE2" w14:paraId="0ADD9730" w14:textId="77777777">
        <w:tc>
          <w:tcPr>
            <w:tcW w:w="4320" w:type="dxa"/>
          </w:tcPr>
          <w:p w14:paraId="79E94817" w14:textId="77777777" w:rsidR="00D85AE2" w:rsidRDefault="001C6193">
            <w:r>
              <w:t>Manage practice operations, HR, and staffing</w:t>
            </w:r>
          </w:p>
        </w:tc>
        <w:tc>
          <w:tcPr>
            <w:tcW w:w="4320" w:type="dxa"/>
          </w:tcPr>
          <w:p w14:paraId="057F9757" w14:textId="77777777" w:rsidR="00D85AE2" w:rsidRDefault="001C6193">
            <w:r>
              <w:t>CPPM</w:t>
            </w:r>
          </w:p>
        </w:tc>
      </w:tr>
      <w:tr w:rsidR="00D85AE2" w14:paraId="590CD9A7" w14:textId="77777777">
        <w:tc>
          <w:tcPr>
            <w:tcW w:w="4320" w:type="dxa"/>
          </w:tcPr>
          <w:p w14:paraId="71FDB0DA" w14:textId="77777777" w:rsidR="00D85AE2" w:rsidRDefault="001C6193">
            <w:r>
              <w:t>Oversee budgeting, financial planning, and reporting</w:t>
            </w:r>
          </w:p>
        </w:tc>
        <w:tc>
          <w:tcPr>
            <w:tcW w:w="4320" w:type="dxa"/>
          </w:tcPr>
          <w:p w14:paraId="2C767FAD" w14:textId="77777777" w:rsidR="00D85AE2" w:rsidRDefault="001C6193">
            <w:r>
              <w:t>CPPM</w:t>
            </w:r>
          </w:p>
        </w:tc>
      </w:tr>
      <w:tr w:rsidR="00D85AE2" w14:paraId="444440A5" w14:textId="77777777">
        <w:tc>
          <w:tcPr>
            <w:tcW w:w="4320" w:type="dxa"/>
          </w:tcPr>
          <w:p w14:paraId="5D06B249" w14:textId="77777777" w:rsidR="00D85AE2" w:rsidRDefault="001C6193">
            <w:r>
              <w:t>Implement workflow optimization and productivity tracking</w:t>
            </w:r>
          </w:p>
        </w:tc>
        <w:tc>
          <w:tcPr>
            <w:tcW w:w="4320" w:type="dxa"/>
          </w:tcPr>
          <w:p w14:paraId="64F27375" w14:textId="77777777" w:rsidR="00D85AE2" w:rsidRDefault="001C6193">
            <w:r>
              <w:t>CPPM</w:t>
            </w:r>
          </w:p>
        </w:tc>
      </w:tr>
      <w:tr w:rsidR="00D85AE2" w14:paraId="210C3962" w14:textId="77777777">
        <w:tc>
          <w:tcPr>
            <w:tcW w:w="4320" w:type="dxa"/>
          </w:tcPr>
          <w:p w14:paraId="0970DE6D" w14:textId="77777777" w:rsidR="00D85AE2" w:rsidRDefault="001C6193">
            <w:r>
              <w:t>Manage payer contracts and negotiations</w:t>
            </w:r>
          </w:p>
        </w:tc>
        <w:tc>
          <w:tcPr>
            <w:tcW w:w="4320" w:type="dxa"/>
          </w:tcPr>
          <w:p w14:paraId="4A119EF7" w14:textId="77777777" w:rsidR="00D85AE2" w:rsidRDefault="001C6193">
            <w:r>
              <w:t>CPPM</w:t>
            </w:r>
          </w:p>
        </w:tc>
      </w:tr>
      <w:tr w:rsidR="00D85AE2" w14:paraId="590001F3" w14:textId="77777777">
        <w:tc>
          <w:tcPr>
            <w:tcW w:w="4320" w:type="dxa"/>
          </w:tcPr>
          <w:p w14:paraId="6D021B4C" w14:textId="77777777" w:rsidR="00D85AE2" w:rsidRDefault="001C6193">
            <w:r>
              <w:t>Ensure compliance with HIPAA and regulatory standards</w:t>
            </w:r>
          </w:p>
        </w:tc>
        <w:tc>
          <w:tcPr>
            <w:tcW w:w="4320" w:type="dxa"/>
          </w:tcPr>
          <w:p w14:paraId="04DE2361" w14:textId="77777777" w:rsidR="00D85AE2" w:rsidRDefault="001C6193">
            <w:r>
              <w:t>CPPM, CCO</w:t>
            </w:r>
          </w:p>
        </w:tc>
      </w:tr>
      <w:tr w:rsidR="00D85AE2" w14:paraId="700C7CC6" w14:textId="77777777">
        <w:tc>
          <w:tcPr>
            <w:tcW w:w="4320" w:type="dxa"/>
          </w:tcPr>
          <w:p w14:paraId="7057AC94" w14:textId="77777777" w:rsidR="00D85AE2" w:rsidRDefault="001C6193">
            <w:r>
              <w:t>Apply anatomy, physiology, and medical terminology to coding</w:t>
            </w:r>
          </w:p>
        </w:tc>
        <w:tc>
          <w:tcPr>
            <w:tcW w:w="4320" w:type="dxa"/>
          </w:tcPr>
          <w:p w14:paraId="6E8499C8" w14:textId="77777777" w:rsidR="00D85AE2" w:rsidRDefault="001C6193">
            <w:r>
              <w:t>CPC, COC, CIC, CPMA, Specialty Coders</w:t>
            </w:r>
          </w:p>
        </w:tc>
      </w:tr>
      <w:tr w:rsidR="00D85AE2" w14:paraId="0FE5BC6E" w14:textId="77777777">
        <w:tc>
          <w:tcPr>
            <w:tcW w:w="4320" w:type="dxa"/>
          </w:tcPr>
          <w:p w14:paraId="2A1BA028" w14:textId="77777777" w:rsidR="00D85AE2" w:rsidRDefault="001C6193">
            <w:r>
              <w:t>Utilize encoders, EHRs, and coding/billing software</w:t>
            </w:r>
          </w:p>
        </w:tc>
        <w:tc>
          <w:tcPr>
            <w:tcW w:w="4320" w:type="dxa"/>
          </w:tcPr>
          <w:p w14:paraId="00DBEB7D" w14:textId="77777777" w:rsidR="00D85AE2" w:rsidRDefault="001C6193">
            <w:r>
              <w:t>All Coding &amp; Billing Credentials</w:t>
            </w:r>
          </w:p>
        </w:tc>
      </w:tr>
      <w:tr w:rsidR="00D85AE2" w14:paraId="05E0D5FB" w14:textId="77777777">
        <w:tc>
          <w:tcPr>
            <w:tcW w:w="4320" w:type="dxa"/>
          </w:tcPr>
          <w:p w14:paraId="7B7A8D44" w14:textId="77777777" w:rsidR="00D85AE2" w:rsidRDefault="001C6193">
            <w:r>
              <w:t>Apply HIPAA privacy and security rules in documentation and billing</w:t>
            </w:r>
          </w:p>
        </w:tc>
        <w:tc>
          <w:tcPr>
            <w:tcW w:w="4320" w:type="dxa"/>
          </w:tcPr>
          <w:p w14:paraId="278A7615" w14:textId="77777777" w:rsidR="00D85AE2" w:rsidRDefault="001C6193">
            <w:r>
              <w:t>All AAPC Certifications</w:t>
            </w:r>
          </w:p>
        </w:tc>
      </w:tr>
      <w:tr w:rsidR="00D85AE2" w14:paraId="00AFFAAC" w14:textId="77777777">
        <w:tc>
          <w:tcPr>
            <w:tcW w:w="4320" w:type="dxa"/>
          </w:tcPr>
          <w:p w14:paraId="1D7DA333" w14:textId="77777777" w:rsidR="00D85AE2" w:rsidRDefault="001C6193">
            <w:r>
              <w:t>Communicate effectively with providers, staff, and payers</w:t>
            </w:r>
          </w:p>
        </w:tc>
        <w:tc>
          <w:tcPr>
            <w:tcW w:w="4320" w:type="dxa"/>
          </w:tcPr>
          <w:p w14:paraId="77EAAB06" w14:textId="77777777" w:rsidR="00D85AE2" w:rsidRDefault="001C6193">
            <w:r>
              <w:t>All AAPC Certifications</w:t>
            </w:r>
          </w:p>
        </w:tc>
      </w:tr>
    </w:tbl>
    <w:p w14:paraId="7A3044C4" w14:textId="77777777" w:rsidR="001C6193" w:rsidRDefault="001C6193"/>
    <w:sectPr w:rsidR="001C61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041818">
    <w:abstractNumId w:val="8"/>
  </w:num>
  <w:num w:numId="2" w16cid:durableId="687561301">
    <w:abstractNumId w:val="6"/>
  </w:num>
  <w:num w:numId="3" w16cid:durableId="997147273">
    <w:abstractNumId w:val="5"/>
  </w:num>
  <w:num w:numId="4" w16cid:durableId="399602984">
    <w:abstractNumId w:val="4"/>
  </w:num>
  <w:num w:numId="5" w16cid:durableId="1545363966">
    <w:abstractNumId w:val="7"/>
  </w:num>
  <w:num w:numId="6" w16cid:durableId="1028021218">
    <w:abstractNumId w:val="3"/>
  </w:num>
  <w:num w:numId="7" w16cid:durableId="917590208">
    <w:abstractNumId w:val="2"/>
  </w:num>
  <w:num w:numId="8" w16cid:durableId="873857191">
    <w:abstractNumId w:val="1"/>
  </w:num>
  <w:num w:numId="9" w16cid:durableId="16034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73C"/>
    <w:rsid w:val="000D19E8"/>
    <w:rsid w:val="0015074B"/>
    <w:rsid w:val="001C6193"/>
    <w:rsid w:val="0029639D"/>
    <w:rsid w:val="00326F90"/>
    <w:rsid w:val="00550BC4"/>
    <w:rsid w:val="00A649E5"/>
    <w:rsid w:val="00AA1D8D"/>
    <w:rsid w:val="00B47730"/>
    <w:rsid w:val="00CB0664"/>
    <w:rsid w:val="00D85AE2"/>
    <w:rsid w:val="00E204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D3C46"/>
  <w14:defaultImageDpi w14:val="300"/>
  <w15:docId w15:val="{470171BF-89D0-A74D-A943-75824FC5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Jasmine Agnew</cp:lastModifiedBy>
  <cp:revision>2</cp:revision>
  <dcterms:created xsi:type="dcterms:W3CDTF">2025-08-28T16:14:00Z</dcterms:created>
  <dcterms:modified xsi:type="dcterms:W3CDTF">2025-08-28T16:14:00Z</dcterms:modified>
  <cp:category/>
</cp:coreProperties>
</file>