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E607" w14:textId="30F8773C" w:rsidR="00B828DC" w:rsidRDefault="00F84C0E">
      <w:pPr>
        <w:pStyle w:val="Heading1"/>
      </w:pPr>
      <w:r>
        <w:t xml:space="preserve">HFMA-Aligned Healthcare Finance Skills Inventory </w:t>
      </w:r>
    </w:p>
    <w:p w14:paraId="6E328EFB" w14:textId="77777777" w:rsidR="00B828DC" w:rsidRDefault="00F84C0E">
      <w:r>
        <w:t>This expanded inventory provides detailed sub-skills aligned with HFMA certifications. It maps specific, job-ready competencies to each credential, showing progression from foundational to advanced levels across healthcare finance domains.</w:t>
      </w:r>
    </w:p>
    <w:p w14:paraId="6B14D7D0" w14:textId="77777777" w:rsidR="00994861" w:rsidRPr="00CE1252" w:rsidRDefault="00994861" w:rsidP="00994861">
      <w:r w:rsidRPr="00CE1252">
        <w:rPr>
          <w:b/>
          <w:bCs/>
        </w:rPr>
        <w:t>Disclaimer:</w:t>
      </w:r>
      <w:r w:rsidRPr="00CE1252">
        <w:t xml:space="preserve"> The skills inventories provided herein were independently created </w:t>
      </w:r>
      <w:r>
        <w:t xml:space="preserve">by Agnew, Davis, Siddell Business Services, LLC </w:t>
      </w:r>
      <w:r w:rsidRPr="00CE1252">
        <w:t xml:space="preserve">for educational and informational purposes. They are not endorsed by, affiliated with, or officially sanctioned by </w:t>
      </w:r>
      <w:r>
        <w:t xml:space="preserve">AHIMA, AAPC, </w:t>
      </w:r>
      <w:r w:rsidRPr="00CE1252">
        <w:t xml:space="preserve">HIMSS, HFMA, or any Lean Six Sigma accrediting body. Certification names (e.g., </w:t>
      </w:r>
      <w:r>
        <w:t>RHIA</w:t>
      </w:r>
      <w:r w:rsidRPr="00CE1252">
        <w:t>, CPHIMS, CHFP, CRCR, CSBI, Lean Six Sigma belts) are referenced solely to illustrate commonly associated knowledge domains and competencies. All rights and trademarks belong to their respective owners.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828DC" w14:paraId="7FB2295D" w14:textId="77777777">
        <w:tc>
          <w:tcPr>
            <w:tcW w:w="4320" w:type="dxa"/>
          </w:tcPr>
          <w:p w14:paraId="24A4175D" w14:textId="77777777" w:rsidR="00B828DC" w:rsidRDefault="00F84C0E">
            <w:r>
              <w:t>Skill / Sub-Skill</w:t>
            </w:r>
          </w:p>
        </w:tc>
        <w:tc>
          <w:tcPr>
            <w:tcW w:w="4320" w:type="dxa"/>
          </w:tcPr>
          <w:p w14:paraId="46211F14" w14:textId="77777777" w:rsidR="00B828DC" w:rsidRDefault="00F84C0E">
            <w:r>
              <w:t>Covered in Credentials</w:t>
            </w:r>
          </w:p>
        </w:tc>
      </w:tr>
      <w:tr w:rsidR="00B828DC" w14:paraId="30A433F7" w14:textId="77777777">
        <w:tc>
          <w:tcPr>
            <w:tcW w:w="4320" w:type="dxa"/>
          </w:tcPr>
          <w:p w14:paraId="70E9D296" w14:textId="77777777" w:rsidR="00B828DC" w:rsidRDefault="00F84C0E">
            <w:r>
              <w:t>Interpret GAAP principles in healthcare finance</w:t>
            </w:r>
          </w:p>
        </w:tc>
        <w:tc>
          <w:tcPr>
            <w:tcW w:w="4320" w:type="dxa"/>
          </w:tcPr>
          <w:p w14:paraId="5540C3CB" w14:textId="77777777" w:rsidR="00B828DC" w:rsidRDefault="00F84C0E">
            <w:r>
              <w:t>CHFP</w:t>
            </w:r>
          </w:p>
        </w:tc>
      </w:tr>
      <w:tr w:rsidR="00B828DC" w14:paraId="1C5AB9CC" w14:textId="77777777">
        <w:tc>
          <w:tcPr>
            <w:tcW w:w="4320" w:type="dxa"/>
          </w:tcPr>
          <w:p w14:paraId="266A4FD1" w14:textId="77777777" w:rsidR="00B828DC" w:rsidRDefault="00F84C0E">
            <w:r>
              <w:t>Prepare and analyze balance sheets, income statements, and cash flow reports</w:t>
            </w:r>
          </w:p>
        </w:tc>
        <w:tc>
          <w:tcPr>
            <w:tcW w:w="4320" w:type="dxa"/>
          </w:tcPr>
          <w:p w14:paraId="5784CA88" w14:textId="77777777" w:rsidR="00B828DC" w:rsidRDefault="00F84C0E">
            <w:r>
              <w:t>CHFP</w:t>
            </w:r>
          </w:p>
        </w:tc>
      </w:tr>
      <w:tr w:rsidR="00B828DC" w14:paraId="264BE316" w14:textId="77777777">
        <w:tc>
          <w:tcPr>
            <w:tcW w:w="4320" w:type="dxa"/>
          </w:tcPr>
          <w:p w14:paraId="5F967A49" w14:textId="77777777" w:rsidR="00B828DC" w:rsidRDefault="00F84C0E">
            <w:r>
              <w:t>Apply budgeting methodologies (zero-based, rolling, incremental)</w:t>
            </w:r>
          </w:p>
        </w:tc>
        <w:tc>
          <w:tcPr>
            <w:tcW w:w="4320" w:type="dxa"/>
          </w:tcPr>
          <w:p w14:paraId="2ADE1EAF" w14:textId="77777777" w:rsidR="00B828DC" w:rsidRDefault="00F84C0E">
            <w:r>
              <w:t>CHFP</w:t>
            </w:r>
          </w:p>
        </w:tc>
      </w:tr>
      <w:tr w:rsidR="00B828DC" w14:paraId="240C8E40" w14:textId="77777777">
        <w:tc>
          <w:tcPr>
            <w:tcW w:w="4320" w:type="dxa"/>
          </w:tcPr>
          <w:p w14:paraId="48538FB8" w14:textId="77777777" w:rsidR="00B828DC" w:rsidRDefault="00F84C0E">
            <w:r>
              <w:t>Forecast financial performance under different scenarios</w:t>
            </w:r>
          </w:p>
        </w:tc>
        <w:tc>
          <w:tcPr>
            <w:tcW w:w="4320" w:type="dxa"/>
          </w:tcPr>
          <w:p w14:paraId="48BD5FAF" w14:textId="77777777" w:rsidR="00B828DC" w:rsidRDefault="00F84C0E">
            <w:r>
              <w:t>CHFP</w:t>
            </w:r>
          </w:p>
        </w:tc>
      </w:tr>
      <w:tr w:rsidR="00B828DC" w14:paraId="69CED591" w14:textId="77777777">
        <w:tc>
          <w:tcPr>
            <w:tcW w:w="4320" w:type="dxa"/>
          </w:tcPr>
          <w:p w14:paraId="10B9E048" w14:textId="77777777" w:rsidR="00B828DC" w:rsidRDefault="00F84C0E">
            <w:proofErr w:type="gramStart"/>
            <w:r>
              <w:t>Align</w:t>
            </w:r>
            <w:proofErr w:type="gramEnd"/>
            <w:r>
              <w:t xml:space="preserve"> financial strategies with organizational mission and vision</w:t>
            </w:r>
          </w:p>
        </w:tc>
        <w:tc>
          <w:tcPr>
            <w:tcW w:w="4320" w:type="dxa"/>
          </w:tcPr>
          <w:p w14:paraId="45DDD205" w14:textId="77777777" w:rsidR="00B828DC" w:rsidRDefault="00F84C0E">
            <w:r>
              <w:t>CHFP</w:t>
            </w:r>
          </w:p>
        </w:tc>
      </w:tr>
      <w:tr w:rsidR="00B828DC" w14:paraId="208007C3" w14:textId="77777777">
        <w:tc>
          <w:tcPr>
            <w:tcW w:w="4320" w:type="dxa"/>
          </w:tcPr>
          <w:p w14:paraId="3EE40E04" w14:textId="77777777" w:rsidR="00B828DC" w:rsidRDefault="00F84C0E">
            <w:r>
              <w:t>Conduct variance and ratio analysis for decision support</w:t>
            </w:r>
          </w:p>
        </w:tc>
        <w:tc>
          <w:tcPr>
            <w:tcW w:w="4320" w:type="dxa"/>
          </w:tcPr>
          <w:p w14:paraId="4DFA9056" w14:textId="77777777" w:rsidR="00B828DC" w:rsidRDefault="00F84C0E">
            <w:r>
              <w:t>CHFP</w:t>
            </w:r>
          </w:p>
        </w:tc>
      </w:tr>
      <w:tr w:rsidR="00B828DC" w14:paraId="5D0AA69D" w14:textId="77777777">
        <w:tc>
          <w:tcPr>
            <w:tcW w:w="4320" w:type="dxa"/>
          </w:tcPr>
          <w:p w14:paraId="6AB6997B" w14:textId="77777777" w:rsidR="00B828DC" w:rsidRDefault="00F84C0E">
            <w:r>
              <w:t>Develop capital planning and investment strategies</w:t>
            </w:r>
          </w:p>
        </w:tc>
        <w:tc>
          <w:tcPr>
            <w:tcW w:w="4320" w:type="dxa"/>
          </w:tcPr>
          <w:p w14:paraId="7A2AF51F" w14:textId="77777777" w:rsidR="00B828DC" w:rsidRDefault="00F84C0E">
            <w:r>
              <w:t>CHFP</w:t>
            </w:r>
          </w:p>
        </w:tc>
      </w:tr>
      <w:tr w:rsidR="00B828DC" w14:paraId="36637E39" w14:textId="77777777">
        <w:tc>
          <w:tcPr>
            <w:tcW w:w="4320" w:type="dxa"/>
          </w:tcPr>
          <w:p w14:paraId="7CA6B4B7" w14:textId="77777777" w:rsidR="00B828DC" w:rsidRDefault="00F84C0E">
            <w:r>
              <w:t>Evaluate impact of mergers, acquisitions, and affiliations</w:t>
            </w:r>
          </w:p>
        </w:tc>
        <w:tc>
          <w:tcPr>
            <w:tcW w:w="4320" w:type="dxa"/>
          </w:tcPr>
          <w:p w14:paraId="226FCEF6" w14:textId="77777777" w:rsidR="00B828DC" w:rsidRDefault="00F84C0E">
            <w:r>
              <w:t>CHFP</w:t>
            </w:r>
          </w:p>
        </w:tc>
      </w:tr>
      <w:tr w:rsidR="00B828DC" w14:paraId="7780BD14" w14:textId="77777777">
        <w:tc>
          <w:tcPr>
            <w:tcW w:w="4320" w:type="dxa"/>
          </w:tcPr>
          <w:p w14:paraId="21EE15CB" w14:textId="77777777" w:rsidR="00B828DC" w:rsidRDefault="00F84C0E">
            <w:r>
              <w:t>Verify insurance eligibility and benefits</w:t>
            </w:r>
          </w:p>
        </w:tc>
        <w:tc>
          <w:tcPr>
            <w:tcW w:w="4320" w:type="dxa"/>
          </w:tcPr>
          <w:p w14:paraId="45C6D25B" w14:textId="77777777" w:rsidR="00B828DC" w:rsidRDefault="00F84C0E">
            <w:r>
              <w:t>CRCR</w:t>
            </w:r>
          </w:p>
        </w:tc>
      </w:tr>
      <w:tr w:rsidR="00B828DC" w14:paraId="4E9CA366" w14:textId="77777777">
        <w:tc>
          <w:tcPr>
            <w:tcW w:w="4320" w:type="dxa"/>
          </w:tcPr>
          <w:p w14:paraId="20E2A82C" w14:textId="77777777" w:rsidR="00B828DC" w:rsidRDefault="00F84C0E">
            <w:r>
              <w:t>Collect co-pays, deductibles, and upfront payments</w:t>
            </w:r>
          </w:p>
        </w:tc>
        <w:tc>
          <w:tcPr>
            <w:tcW w:w="4320" w:type="dxa"/>
          </w:tcPr>
          <w:p w14:paraId="325A55DC" w14:textId="77777777" w:rsidR="00B828DC" w:rsidRDefault="00F84C0E">
            <w:r>
              <w:t>CRCR</w:t>
            </w:r>
          </w:p>
        </w:tc>
      </w:tr>
      <w:tr w:rsidR="00B828DC" w14:paraId="2181D7D8" w14:textId="77777777">
        <w:tc>
          <w:tcPr>
            <w:tcW w:w="4320" w:type="dxa"/>
          </w:tcPr>
          <w:p w14:paraId="6A356F05" w14:textId="77777777" w:rsidR="00B828DC" w:rsidRDefault="00F84C0E">
            <w:r>
              <w:t>Explain patient financial responsibility and payment options</w:t>
            </w:r>
          </w:p>
        </w:tc>
        <w:tc>
          <w:tcPr>
            <w:tcW w:w="4320" w:type="dxa"/>
          </w:tcPr>
          <w:p w14:paraId="1EF11365" w14:textId="77777777" w:rsidR="00B828DC" w:rsidRDefault="00F84C0E">
            <w:r>
              <w:t>CRCR</w:t>
            </w:r>
          </w:p>
        </w:tc>
      </w:tr>
      <w:tr w:rsidR="00B828DC" w14:paraId="5E100DA0" w14:textId="77777777">
        <w:tc>
          <w:tcPr>
            <w:tcW w:w="4320" w:type="dxa"/>
          </w:tcPr>
          <w:p w14:paraId="0D423E42" w14:textId="77777777" w:rsidR="00B828DC" w:rsidRDefault="00F84C0E">
            <w:r>
              <w:t>Ensure claims meet payer-specific requirements</w:t>
            </w:r>
          </w:p>
        </w:tc>
        <w:tc>
          <w:tcPr>
            <w:tcW w:w="4320" w:type="dxa"/>
          </w:tcPr>
          <w:p w14:paraId="415B13B6" w14:textId="77777777" w:rsidR="00B828DC" w:rsidRDefault="00F84C0E">
            <w:r>
              <w:t>CRCR</w:t>
            </w:r>
          </w:p>
        </w:tc>
      </w:tr>
      <w:tr w:rsidR="00B828DC" w14:paraId="0F63A86F" w14:textId="77777777">
        <w:tc>
          <w:tcPr>
            <w:tcW w:w="4320" w:type="dxa"/>
          </w:tcPr>
          <w:p w14:paraId="28E78B2B" w14:textId="77777777" w:rsidR="00B828DC" w:rsidRDefault="00F84C0E">
            <w:r>
              <w:t>Resolve claim denials and rejections</w:t>
            </w:r>
          </w:p>
        </w:tc>
        <w:tc>
          <w:tcPr>
            <w:tcW w:w="4320" w:type="dxa"/>
          </w:tcPr>
          <w:p w14:paraId="55D2B481" w14:textId="77777777" w:rsidR="00B828DC" w:rsidRDefault="00F84C0E">
            <w:r>
              <w:t>CRCR</w:t>
            </w:r>
          </w:p>
        </w:tc>
      </w:tr>
      <w:tr w:rsidR="00B828DC" w14:paraId="048A93FF" w14:textId="77777777">
        <w:tc>
          <w:tcPr>
            <w:tcW w:w="4320" w:type="dxa"/>
          </w:tcPr>
          <w:p w14:paraId="7D416F8E" w14:textId="77777777" w:rsidR="00B828DC" w:rsidRDefault="00F84C0E">
            <w:r>
              <w:t>Apply compliance standards (HIPAA, CMS rules, EMTALA)</w:t>
            </w:r>
          </w:p>
        </w:tc>
        <w:tc>
          <w:tcPr>
            <w:tcW w:w="4320" w:type="dxa"/>
          </w:tcPr>
          <w:p w14:paraId="5261947E" w14:textId="77777777" w:rsidR="00B828DC" w:rsidRDefault="00F84C0E">
            <w:r>
              <w:t>CRCR</w:t>
            </w:r>
          </w:p>
        </w:tc>
      </w:tr>
      <w:tr w:rsidR="00B828DC" w14:paraId="2C1098D2" w14:textId="77777777">
        <w:tc>
          <w:tcPr>
            <w:tcW w:w="4320" w:type="dxa"/>
          </w:tcPr>
          <w:p w14:paraId="535C5888" w14:textId="77777777" w:rsidR="00B828DC" w:rsidRDefault="00F84C0E">
            <w:r>
              <w:t>Work with patient accounts for follow-up and collections</w:t>
            </w:r>
          </w:p>
        </w:tc>
        <w:tc>
          <w:tcPr>
            <w:tcW w:w="4320" w:type="dxa"/>
          </w:tcPr>
          <w:p w14:paraId="18BD2A68" w14:textId="77777777" w:rsidR="00B828DC" w:rsidRDefault="00F84C0E">
            <w:r>
              <w:t>CRCR</w:t>
            </w:r>
          </w:p>
        </w:tc>
      </w:tr>
      <w:tr w:rsidR="00B828DC" w14:paraId="53A63897" w14:textId="77777777">
        <w:tc>
          <w:tcPr>
            <w:tcW w:w="4320" w:type="dxa"/>
          </w:tcPr>
          <w:p w14:paraId="13C37D3E" w14:textId="77777777" w:rsidR="00B828DC" w:rsidRDefault="00F84C0E">
            <w:r>
              <w:t>Post remittances and reconcile accounts receivable</w:t>
            </w:r>
          </w:p>
        </w:tc>
        <w:tc>
          <w:tcPr>
            <w:tcW w:w="4320" w:type="dxa"/>
          </w:tcPr>
          <w:p w14:paraId="4DA87BE7" w14:textId="77777777" w:rsidR="00B828DC" w:rsidRDefault="00F84C0E">
            <w:r>
              <w:t>CRCR</w:t>
            </w:r>
          </w:p>
        </w:tc>
      </w:tr>
      <w:tr w:rsidR="00B828DC" w14:paraId="618C1DA5" w14:textId="77777777">
        <w:tc>
          <w:tcPr>
            <w:tcW w:w="4320" w:type="dxa"/>
          </w:tcPr>
          <w:p w14:paraId="2AD5D35F" w14:textId="77777777" w:rsidR="00B828DC" w:rsidRDefault="00F84C0E">
            <w:r>
              <w:t>Identify trends in denial management</w:t>
            </w:r>
          </w:p>
        </w:tc>
        <w:tc>
          <w:tcPr>
            <w:tcW w:w="4320" w:type="dxa"/>
          </w:tcPr>
          <w:p w14:paraId="681AA72B" w14:textId="77777777" w:rsidR="00B828DC" w:rsidRDefault="00F84C0E">
            <w:r>
              <w:t>CRCR</w:t>
            </w:r>
          </w:p>
        </w:tc>
      </w:tr>
      <w:tr w:rsidR="00B828DC" w14:paraId="7E9F15F3" w14:textId="77777777">
        <w:tc>
          <w:tcPr>
            <w:tcW w:w="4320" w:type="dxa"/>
          </w:tcPr>
          <w:p w14:paraId="575A3AE7" w14:textId="77777777" w:rsidR="00B828DC" w:rsidRDefault="00F84C0E">
            <w:r>
              <w:t xml:space="preserve">Prepare journal entries and reconcile </w:t>
            </w:r>
            <w:r>
              <w:lastRenderedPageBreak/>
              <w:t>accounts</w:t>
            </w:r>
          </w:p>
        </w:tc>
        <w:tc>
          <w:tcPr>
            <w:tcW w:w="4320" w:type="dxa"/>
          </w:tcPr>
          <w:p w14:paraId="3B928257" w14:textId="77777777" w:rsidR="00B828DC" w:rsidRDefault="00F84C0E">
            <w:r>
              <w:lastRenderedPageBreak/>
              <w:t>CSAF</w:t>
            </w:r>
          </w:p>
        </w:tc>
      </w:tr>
      <w:tr w:rsidR="00B828DC" w14:paraId="71708A8C" w14:textId="77777777">
        <w:tc>
          <w:tcPr>
            <w:tcW w:w="4320" w:type="dxa"/>
          </w:tcPr>
          <w:p w14:paraId="3819FD05" w14:textId="77777777" w:rsidR="00B828DC" w:rsidRDefault="00F84C0E">
            <w:r>
              <w:t>Develop cost allocation models for service lines</w:t>
            </w:r>
          </w:p>
        </w:tc>
        <w:tc>
          <w:tcPr>
            <w:tcW w:w="4320" w:type="dxa"/>
          </w:tcPr>
          <w:p w14:paraId="580C7850" w14:textId="77777777" w:rsidR="00B828DC" w:rsidRDefault="00F84C0E">
            <w:r>
              <w:t>CSAF</w:t>
            </w:r>
          </w:p>
        </w:tc>
      </w:tr>
      <w:tr w:rsidR="00B828DC" w14:paraId="616B58CD" w14:textId="77777777">
        <w:tc>
          <w:tcPr>
            <w:tcW w:w="4320" w:type="dxa"/>
          </w:tcPr>
          <w:p w14:paraId="058015DF" w14:textId="77777777" w:rsidR="00B828DC" w:rsidRDefault="00F84C0E">
            <w:r>
              <w:t>Conduct variance analysis for departmental budgets</w:t>
            </w:r>
          </w:p>
        </w:tc>
        <w:tc>
          <w:tcPr>
            <w:tcW w:w="4320" w:type="dxa"/>
          </w:tcPr>
          <w:p w14:paraId="1DD3CCFA" w14:textId="77777777" w:rsidR="00B828DC" w:rsidRDefault="00F84C0E">
            <w:r>
              <w:t>CSAF</w:t>
            </w:r>
          </w:p>
        </w:tc>
      </w:tr>
      <w:tr w:rsidR="00B828DC" w14:paraId="3B765D2B" w14:textId="77777777">
        <w:tc>
          <w:tcPr>
            <w:tcW w:w="4320" w:type="dxa"/>
          </w:tcPr>
          <w:p w14:paraId="6E3AA356" w14:textId="77777777" w:rsidR="00B828DC" w:rsidRDefault="00F84C0E">
            <w:r>
              <w:t>Interpret managed care contract terms and financial implications</w:t>
            </w:r>
          </w:p>
        </w:tc>
        <w:tc>
          <w:tcPr>
            <w:tcW w:w="4320" w:type="dxa"/>
          </w:tcPr>
          <w:p w14:paraId="5A99058A" w14:textId="77777777" w:rsidR="00B828DC" w:rsidRDefault="00F84C0E">
            <w:r>
              <w:t>CSAF</w:t>
            </w:r>
          </w:p>
        </w:tc>
      </w:tr>
      <w:tr w:rsidR="00B828DC" w14:paraId="2EEC0BD2" w14:textId="77777777">
        <w:tc>
          <w:tcPr>
            <w:tcW w:w="4320" w:type="dxa"/>
          </w:tcPr>
          <w:p w14:paraId="46E112E3" w14:textId="77777777" w:rsidR="00B828DC" w:rsidRDefault="00F84C0E">
            <w:r>
              <w:t>Assess risk-sharing agreements and payer mixes</w:t>
            </w:r>
          </w:p>
        </w:tc>
        <w:tc>
          <w:tcPr>
            <w:tcW w:w="4320" w:type="dxa"/>
          </w:tcPr>
          <w:p w14:paraId="439E6741" w14:textId="77777777" w:rsidR="00B828DC" w:rsidRDefault="00F84C0E">
            <w:r>
              <w:t>CSAF</w:t>
            </w:r>
          </w:p>
        </w:tc>
      </w:tr>
      <w:tr w:rsidR="00B828DC" w14:paraId="34931136" w14:textId="77777777">
        <w:tc>
          <w:tcPr>
            <w:tcW w:w="4320" w:type="dxa"/>
          </w:tcPr>
          <w:p w14:paraId="308E3DA6" w14:textId="77777777" w:rsidR="00B828DC" w:rsidRDefault="00F84C0E">
            <w:r>
              <w:t>Calculate contribution margin and break-even analysis</w:t>
            </w:r>
          </w:p>
        </w:tc>
        <w:tc>
          <w:tcPr>
            <w:tcW w:w="4320" w:type="dxa"/>
          </w:tcPr>
          <w:p w14:paraId="5BDFD249" w14:textId="77777777" w:rsidR="00B828DC" w:rsidRDefault="00F84C0E">
            <w:r>
              <w:t>CSAF</w:t>
            </w:r>
          </w:p>
        </w:tc>
      </w:tr>
      <w:tr w:rsidR="00B828DC" w14:paraId="524358E1" w14:textId="77777777">
        <w:tc>
          <w:tcPr>
            <w:tcW w:w="4320" w:type="dxa"/>
          </w:tcPr>
          <w:p w14:paraId="09082487" w14:textId="77777777" w:rsidR="00B828DC" w:rsidRDefault="00F84C0E">
            <w:r>
              <w:t>Model financial impact of new service lines</w:t>
            </w:r>
          </w:p>
        </w:tc>
        <w:tc>
          <w:tcPr>
            <w:tcW w:w="4320" w:type="dxa"/>
          </w:tcPr>
          <w:p w14:paraId="186E15B4" w14:textId="77777777" w:rsidR="00B828DC" w:rsidRDefault="00F84C0E">
            <w:r>
              <w:t>CSAF</w:t>
            </w:r>
          </w:p>
        </w:tc>
      </w:tr>
      <w:tr w:rsidR="00B828DC" w14:paraId="011F3EBF" w14:textId="77777777">
        <w:tc>
          <w:tcPr>
            <w:tcW w:w="4320" w:type="dxa"/>
          </w:tcPr>
          <w:p w14:paraId="7CB59C4E" w14:textId="77777777" w:rsidR="00B828DC" w:rsidRDefault="00F84C0E">
            <w:r>
              <w:t>Differentiate between fee-for-service, value-based, and bundled payment models</w:t>
            </w:r>
          </w:p>
        </w:tc>
        <w:tc>
          <w:tcPr>
            <w:tcW w:w="4320" w:type="dxa"/>
          </w:tcPr>
          <w:p w14:paraId="5E3A641B" w14:textId="77777777" w:rsidR="00B828DC" w:rsidRDefault="00F84C0E">
            <w:r>
              <w:t>CSPR</w:t>
            </w:r>
          </w:p>
        </w:tc>
      </w:tr>
      <w:tr w:rsidR="00B828DC" w14:paraId="6CEA6521" w14:textId="77777777">
        <w:tc>
          <w:tcPr>
            <w:tcW w:w="4320" w:type="dxa"/>
          </w:tcPr>
          <w:p w14:paraId="26B6DE2F" w14:textId="77777777" w:rsidR="00B828DC" w:rsidRDefault="00F84C0E">
            <w:r>
              <w:t>Apply Medicare, Medicaid, and commercial payer reimbursement methodologies</w:t>
            </w:r>
          </w:p>
        </w:tc>
        <w:tc>
          <w:tcPr>
            <w:tcW w:w="4320" w:type="dxa"/>
          </w:tcPr>
          <w:p w14:paraId="50767EC6" w14:textId="77777777" w:rsidR="00B828DC" w:rsidRDefault="00F84C0E">
            <w:r>
              <w:t>CSPR</w:t>
            </w:r>
          </w:p>
        </w:tc>
      </w:tr>
      <w:tr w:rsidR="00B828DC" w14:paraId="04DFBFFB" w14:textId="77777777">
        <w:tc>
          <w:tcPr>
            <w:tcW w:w="4320" w:type="dxa"/>
          </w:tcPr>
          <w:p w14:paraId="77369A7F" w14:textId="77777777" w:rsidR="00B828DC" w:rsidRDefault="00F84C0E">
            <w:r>
              <w:t>Monitor changes in CMS payment rules (IPPS, OPPS, DRGs, APCs)</w:t>
            </w:r>
          </w:p>
        </w:tc>
        <w:tc>
          <w:tcPr>
            <w:tcW w:w="4320" w:type="dxa"/>
          </w:tcPr>
          <w:p w14:paraId="04D1EF8E" w14:textId="77777777" w:rsidR="00B828DC" w:rsidRDefault="00F84C0E">
            <w:r>
              <w:t>CSPR</w:t>
            </w:r>
          </w:p>
        </w:tc>
      </w:tr>
      <w:tr w:rsidR="00B828DC" w14:paraId="72ADDBCA" w14:textId="77777777">
        <w:tc>
          <w:tcPr>
            <w:tcW w:w="4320" w:type="dxa"/>
          </w:tcPr>
          <w:p w14:paraId="16D4A5CD" w14:textId="77777777" w:rsidR="00B828DC" w:rsidRDefault="00F84C0E">
            <w:r>
              <w:t>Assess legislative impacts on reimbursement systems</w:t>
            </w:r>
          </w:p>
        </w:tc>
        <w:tc>
          <w:tcPr>
            <w:tcW w:w="4320" w:type="dxa"/>
          </w:tcPr>
          <w:p w14:paraId="76E963FD" w14:textId="77777777" w:rsidR="00B828DC" w:rsidRDefault="00F84C0E">
            <w:r>
              <w:t>CSPR</w:t>
            </w:r>
          </w:p>
        </w:tc>
      </w:tr>
      <w:tr w:rsidR="00B828DC" w14:paraId="6830EAA4" w14:textId="77777777">
        <w:tc>
          <w:tcPr>
            <w:tcW w:w="4320" w:type="dxa"/>
          </w:tcPr>
          <w:p w14:paraId="12D5D064" w14:textId="77777777" w:rsidR="00B828DC" w:rsidRDefault="00F84C0E">
            <w:r>
              <w:t>Develop payer rate models and negotiate reimbursement contracts</w:t>
            </w:r>
          </w:p>
        </w:tc>
        <w:tc>
          <w:tcPr>
            <w:tcW w:w="4320" w:type="dxa"/>
          </w:tcPr>
          <w:p w14:paraId="2FA8577C" w14:textId="77777777" w:rsidR="00B828DC" w:rsidRDefault="00F84C0E">
            <w:r>
              <w:t>CSPR</w:t>
            </w:r>
          </w:p>
        </w:tc>
      </w:tr>
      <w:tr w:rsidR="00B828DC" w14:paraId="19A6207C" w14:textId="77777777">
        <w:tc>
          <w:tcPr>
            <w:tcW w:w="4320" w:type="dxa"/>
          </w:tcPr>
          <w:p w14:paraId="37A67111" w14:textId="77777777" w:rsidR="00B828DC" w:rsidRDefault="00F84C0E">
            <w:r>
              <w:t>Extract, clean, and transform healthcare finance data from multiple systems</w:t>
            </w:r>
          </w:p>
        </w:tc>
        <w:tc>
          <w:tcPr>
            <w:tcW w:w="4320" w:type="dxa"/>
          </w:tcPr>
          <w:p w14:paraId="074C6AB4" w14:textId="77777777" w:rsidR="00B828DC" w:rsidRDefault="00F84C0E">
            <w:r>
              <w:t>CSBI</w:t>
            </w:r>
          </w:p>
        </w:tc>
      </w:tr>
      <w:tr w:rsidR="00B828DC" w14:paraId="3AC76F01" w14:textId="77777777">
        <w:tc>
          <w:tcPr>
            <w:tcW w:w="4320" w:type="dxa"/>
          </w:tcPr>
          <w:p w14:paraId="1538E527" w14:textId="77777777" w:rsidR="00B828DC" w:rsidRDefault="00F84C0E">
            <w:r>
              <w:t>Ensure data quality, integrity, and security</w:t>
            </w:r>
          </w:p>
        </w:tc>
        <w:tc>
          <w:tcPr>
            <w:tcW w:w="4320" w:type="dxa"/>
          </w:tcPr>
          <w:p w14:paraId="42BBD42C" w14:textId="77777777" w:rsidR="00B828DC" w:rsidRDefault="00F84C0E">
            <w:r>
              <w:t>CSBI</w:t>
            </w:r>
          </w:p>
        </w:tc>
      </w:tr>
      <w:tr w:rsidR="00B828DC" w14:paraId="24E7DE45" w14:textId="77777777">
        <w:tc>
          <w:tcPr>
            <w:tcW w:w="4320" w:type="dxa"/>
          </w:tcPr>
          <w:p w14:paraId="0FFA5D19" w14:textId="77777777" w:rsidR="00B828DC" w:rsidRDefault="00F84C0E">
            <w:r>
              <w:t>Perform descriptive, diagnostic, predictive, and prescriptive analytics</w:t>
            </w:r>
          </w:p>
        </w:tc>
        <w:tc>
          <w:tcPr>
            <w:tcW w:w="4320" w:type="dxa"/>
          </w:tcPr>
          <w:p w14:paraId="12D2327F" w14:textId="77777777" w:rsidR="00B828DC" w:rsidRDefault="00F84C0E">
            <w:r>
              <w:t>CSBI</w:t>
            </w:r>
          </w:p>
        </w:tc>
      </w:tr>
      <w:tr w:rsidR="00B828DC" w14:paraId="1347ABE0" w14:textId="77777777">
        <w:tc>
          <w:tcPr>
            <w:tcW w:w="4320" w:type="dxa"/>
          </w:tcPr>
          <w:p w14:paraId="6E46D661" w14:textId="77777777" w:rsidR="00B828DC" w:rsidRDefault="00F84C0E">
            <w:r>
              <w:t>Build dashboards and scorecards for executives</w:t>
            </w:r>
          </w:p>
        </w:tc>
        <w:tc>
          <w:tcPr>
            <w:tcW w:w="4320" w:type="dxa"/>
          </w:tcPr>
          <w:p w14:paraId="2E9B34DC" w14:textId="77777777" w:rsidR="00B828DC" w:rsidRDefault="00F84C0E">
            <w:r>
              <w:t>CSBI</w:t>
            </w:r>
          </w:p>
        </w:tc>
      </w:tr>
      <w:tr w:rsidR="00B828DC" w14:paraId="7CF3C5A4" w14:textId="77777777">
        <w:tc>
          <w:tcPr>
            <w:tcW w:w="4320" w:type="dxa"/>
          </w:tcPr>
          <w:p w14:paraId="3F995C95" w14:textId="77777777" w:rsidR="00B828DC" w:rsidRDefault="00F84C0E">
            <w:r>
              <w:t>Translate data into actionable insights for financial planning</w:t>
            </w:r>
          </w:p>
        </w:tc>
        <w:tc>
          <w:tcPr>
            <w:tcW w:w="4320" w:type="dxa"/>
          </w:tcPr>
          <w:p w14:paraId="7981A069" w14:textId="77777777" w:rsidR="00B828DC" w:rsidRDefault="00F84C0E">
            <w:r>
              <w:t>CSBI</w:t>
            </w:r>
          </w:p>
        </w:tc>
      </w:tr>
      <w:tr w:rsidR="00B828DC" w14:paraId="2D2103C6" w14:textId="77777777">
        <w:tc>
          <w:tcPr>
            <w:tcW w:w="4320" w:type="dxa"/>
          </w:tcPr>
          <w:p w14:paraId="2EF21B31" w14:textId="77777777" w:rsidR="00B828DC" w:rsidRDefault="00F84C0E">
            <w:r>
              <w:t>Support value-based care reporting requirements</w:t>
            </w:r>
          </w:p>
        </w:tc>
        <w:tc>
          <w:tcPr>
            <w:tcW w:w="4320" w:type="dxa"/>
          </w:tcPr>
          <w:p w14:paraId="1909EEF6" w14:textId="77777777" w:rsidR="00B828DC" w:rsidRDefault="00F84C0E">
            <w:r>
              <w:t>CSBI</w:t>
            </w:r>
          </w:p>
        </w:tc>
      </w:tr>
      <w:tr w:rsidR="00B828DC" w14:paraId="41FA4581" w14:textId="77777777">
        <w:tc>
          <w:tcPr>
            <w:tcW w:w="4320" w:type="dxa"/>
          </w:tcPr>
          <w:p w14:paraId="669A8371" w14:textId="77777777" w:rsidR="00B828DC" w:rsidRDefault="00F84C0E">
            <w:r>
              <w:t>Apply cost accounting in outpatient/physician settings</w:t>
            </w:r>
          </w:p>
        </w:tc>
        <w:tc>
          <w:tcPr>
            <w:tcW w:w="4320" w:type="dxa"/>
          </w:tcPr>
          <w:p w14:paraId="50B16EF3" w14:textId="77777777" w:rsidR="00B828DC" w:rsidRDefault="00F84C0E">
            <w:r>
              <w:t>CSPPM</w:t>
            </w:r>
          </w:p>
        </w:tc>
      </w:tr>
      <w:tr w:rsidR="00B828DC" w14:paraId="61816D01" w14:textId="77777777">
        <w:tc>
          <w:tcPr>
            <w:tcW w:w="4320" w:type="dxa"/>
          </w:tcPr>
          <w:p w14:paraId="39494EEA" w14:textId="77777777" w:rsidR="00B828DC" w:rsidRDefault="00F84C0E">
            <w:r>
              <w:t>Manage physician compensation models</w:t>
            </w:r>
          </w:p>
        </w:tc>
        <w:tc>
          <w:tcPr>
            <w:tcW w:w="4320" w:type="dxa"/>
          </w:tcPr>
          <w:p w14:paraId="4C6533CF" w14:textId="77777777" w:rsidR="00B828DC" w:rsidRDefault="00F84C0E">
            <w:r>
              <w:t>CSPPM</w:t>
            </w:r>
          </w:p>
        </w:tc>
      </w:tr>
      <w:tr w:rsidR="00B828DC" w14:paraId="1A632CA8" w14:textId="77777777">
        <w:tc>
          <w:tcPr>
            <w:tcW w:w="4320" w:type="dxa"/>
          </w:tcPr>
          <w:p w14:paraId="3D3FB347" w14:textId="77777777" w:rsidR="00B828DC" w:rsidRDefault="00F84C0E">
            <w:r>
              <w:t>Optimize coding accuracy for E/M and specialty services</w:t>
            </w:r>
          </w:p>
        </w:tc>
        <w:tc>
          <w:tcPr>
            <w:tcW w:w="4320" w:type="dxa"/>
          </w:tcPr>
          <w:p w14:paraId="4FCD848E" w14:textId="77777777" w:rsidR="00B828DC" w:rsidRDefault="00F84C0E">
            <w:r>
              <w:t>CSPPM</w:t>
            </w:r>
          </w:p>
        </w:tc>
      </w:tr>
      <w:tr w:rsidR="00B828DC" w14:paraId="0619ED97" w14:textId="77777777">
        <w:tc>
          <w:tcPr>
            <w:tcW w:w="4320" w:type="dxa"/>
          </w:tcPr>
          <w:p w14:paraId="69B4E02D" w14:textId="77777777" w:rsidR="00B828DC" w:rsidRDefault="00F84C0E">
            <w:r>
              <w:t>Manage payer contracting and negotiations for practices</w:t>
            </w:r>
          </w:p>
        </w:tc>
        <w:tc>
          <w:tcPr>
            <w:tcW w:w="4320" w:type="dxa"/>
          </w:tcPr>
          <w:p w14:paraId="5B09128F" w14:textId="77777777" w:rsidR="00B828DC" w:rsidRDefault="00F84C0E">
            <w:r>
              <w:t>CSPPM</w:t>
            </w:r>
          </w:p>
        </w:tc>
      </w:tr>
      <w:tr w:rsidR="00B828DC" w14:paraId="49AA5FC6" w14:textId="77777777">
        <w:tc>
          <w:tcPr>
            <w:tcW w:w="4320" w:type="dxa"/>
          </w:tcPr>
          <w:p w14:paraId="2BBC7414" w14:textId="77777777" w:rsidR="00B828DC" w:rsidRDefault="00F84C0E">
            <w:r>
              <w:t>Monitor key practice metrics (days in A/R, net collection rate, denial rate)</w:t>
            </w:r>
          </w:p>
        </w:tc>
        <w:tc>
          <w:tcPr>
            <w:tcW w:w="4320" w:type="dxa"/>
          </w:tcPr>
          <w:p w14:paraId="77BDDBE9" w14:textId="77777777" w:rsidR="00B828DC" w:rsidRDefault="00F84C0E">
            <w:r>
              <w:t>CSPPM</w:t>
            </w:r>
          </w:p>
        </w:tc>
      </w:tr>
      <w:tr w:rsidR="00B828DC" w14:paraId="0217882C" w14:textId="77777777">
        <w:tc>
          <w:tcPr>
            <w:tcW w:w="4320" w:type="dxa"/>
          </w:tcPr>
          <w:p w14:paraId="2828F896" w14:textId="77777777" w:rsidR="00B828DC" w:rsidRDefault="00F84C0E">
            <w:r>
              <w:t>Implement practice-level compliance programs</w:t>
            </w:r>
          </w:p>
        </w:tc>
        <w:tc>
          <w:tcPr>
            <w:tcW w:w="4320" w:type="dxa"/>
          </w:tcPr>
          <w:p w14:paraId="46D55B2C" w14:textId="77777777" w:rsidR="00B828DC" w:rsidRDefault="00F84C0E">
            <w:r>
              <w:t>CSPPM</w:t>
            </w:r>
          </w:p>
        </w:tc>
      </w:tr>
    </w:tbl>
    <w:p w14:paraId="5BCFA3A6" w14:textId="77777777" w:rsidR="00F84C0E" w:rsidRDefault="00F84C0E"/>
    <w:sectPr w:rsidR="00F84C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21810">
    <w:abstractNumId w:val="8"/>
  </w:num>
  <w:num w:numId="2" w16cid:durableId="2054966208">
    <w:abstractNumId w:val="6"/>
  </w:num>
  <w:num w:numId="3" w16cid:durableId="1348285492">
    <w:abstractNumId w:val="5"/>
  </w:num>
  <w:num w:numId="4" w16cid:durableId="79105858">
    <w:abstractNumId w:val="4"/>
  </w:num>
  <w:num w:numId="5" w16cid:durableId="1243492434">
    <w:abstractNumId w:val="7"/>
  </w:num>
  <w:num w:numId="6" w16cid:durableId="1802921292">
    <w:abstractNumId w:val="3"/>
  </w:num>
  <w:num w:numId="7" w16cid:durableId="85226730">
    <w:abstractNumId w:val="2"/>
  </w:num>
  <w:num w:numId="8" w16cid:durableId="1750299959">
    <w:abstractNumId w:val="1"/>
  </w:num>
  <w:num w:numId="9" w16cid:durableId="186378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2CE"/>
    <w:rsid w:val="00550BC4"/>
    <w:rsid w:val="006A1792"/>
    <w:rsid w:val="007165BB"/>
    <w:rsid w:val="00994861"/>
    <w:rsid w:val="00AA1D8D"/>
    <w:rsid w:val="00B47730"/>
    <w:rsid w:val="00B828DC"/>
    <w:rsid w:val="00C92A0F"/>
    <w:rsid w:val="00CB0664"/>
    <w:rsid w:val="00F84C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B9C59C"/>
  <w14:defaultImageDpi w14:val="300"/>
  <w15:docId w15:val="{B996E013-8F98-0A4F-85DF-DBF67F8F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Jasmine Agnew</cp:lastModifiedBy>
  <cp:revision>3</cp:revision>
  <dcterms:created xsi:type="dcterms:W3CDTF">2025-08-28T16:15:00Z</dcterms:created>
  <dcterms:modified xsi:type="dcterms:W3CDTF">2025-08-28T16:15:00Z</dcterms:modified>
  <cp:category/>
</cp:coreProperties>
</file>